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83 vom 14. Mai 2013</w:t>
      </w:r>
    </w:p>
    <w:p>
      <w:r>
        <w:t>VS Kantonsgericht, 2013-05-14, FR</w:t>
      </w:r>
    </w:p>
    <w:p>
      <w:r>
        <w:rPr>
          <w:b/>
        </w:rPr>
        <w:t xml:space="preserve">Quelle: </w:t>
      </w:r>
      <w:r>
        <w:t>https://mcp.opencaselaw.ch/entscheid/vs_gerichte_S2 12 83</w:t>
      </w:r>
    </w:p>
    <w:p>
      <w:r>
        <w:t>FR: VS_GERICHTE S2 12 83 du 14 mai 2013</w:t>
      </w:r>
    </w:p>
    <w:p>
      <w:r>
        <w:t>IT: VS_GERICHTE S2 12 83 del 14 maggio 2013</w:t>
      </w:r>
    </w:p>
    <w:p>
      <w:pPr>
        <w:pStyle w:val="Heading2"/>
      </w:pPr>
      <w:r>
        <w:t>Regeste</w:t>
      </w:r>
    </w:p>
    <w:p>
      <w:r>
        <w:t>S2 12 83 JUGEMENT DU 14 MAI 2013 Tribunal cantonal du Valais Cour des assurances sociales Composition : Eve-Marie Dayer-Schmid, présidente ; Jean-Bernard Fournier et Jean- Pierre Zufferey, juges ; Véronique Largey, greffière en la cause X__________, demanderesse, représentée par A_________ contre Y__________, défenderesse, représentée par la Fondation Emera (art. 7 CPC, 62 et ss, 102 et 104 al. 1 CO ; assurance complémentaire à l’assurance sociale selon la LAMal, compétence rationae materiae et loci, enrichissement illégitime, intérêt moratoire, dies a quo)</w:t>
      </w:r>
    </w:p>
    <w:p>
      <w:pPr>
        <w:pStyle w:val="Heading2"/>
      </w:pPr>
      <w:r>
        <w:t>Erwägungen</w:t>
      </w:r>
    </w:p>
    <w:p>
      <w:r>
        <w:rPr>
          <w:b/>
        </w:rPr>
        <w:t>E. 6</w:t>
      </w:r>
    </w:p>
    <w:p>
      <w:r>
        <w:t>décembre 2011 (pièce 8) à l’encontre de Y__________, X__________ a valablement interrompu ce délai. Son action en paiement n’est donc pas prescrite.</w:t>
      </w:r>
    </w:p>
    <w:p>
      <w:r>
        <w:t>- 8 - 3.1 Celui qui, sans cause légitime, s’est enrichi aux dépens d’autrui, est tenu à restitution (art. 62 al. 1 CO). La restitution est due, en particulier, de ce qui a été reçu sans cause valable, en vertu d’une cause qui ne s’est pas réalisée ou d’une cause qui a cessé d’exister (art. 62 al. 2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(art. 64 CO). Face à la prétention qui est dirigée contre lui, l’enrichi peut faire valoir l’objection du dessaisissement qui a pour conséquence que l’enrichi, si les autres conditions de l’article 64 CO sont réalisées, n’est plus tenu à restitution ou n’est tenu à restitution que dans la mesure de l’enrichissement qui lui subsiste. On comprendra ici par dessaisissement le seul fait pour l’enrichi d’avoir transféré, aliéné, donné ou consommé l’objet censé être restitué. Cela dit, la notion de dessaisissement ne signifie pas simplement que l’enrichi n’est plus en possession de la prestation dont il a bénéficié sans droit ; le simple fait de ne plus détenir les éléments patrimoniaux qui constituaient l’enrichissement n’est pas dans tous les cas équivalent à un dessaisissement. Le bénéficiaire de la prestation indue reste en effet enrichi si, ayant utilisé les fonds reçus et s’en étant de la sorte dessaisi, il continue néanmoins d’en profiter économiquement au moment où est exigé de lui la restitution de la prestation effectuée à tort. L’utilisation de la somme perçue à tort peut consister en une utilisation spécifique, particulièrement pour éteindre une dette que l’enrichi avait ou pour éviter d’en contracter une nouvelle grâce à la prestation indue. Dans ce cas, quand bien même celui qui paie une dette au moyen des fonds qu’il devait rendre ne dispose plus de ces fonds, il est enrichi du montant de la dette qu’il a éteinte, de sorte qu’il n’y a pas lieu de considérer qu’il s’est dessaisi de la prestation dont la restitution lui est demandée. Dans la mesure où la seule chose à prendre en considération, c’est de savoir si l’utilisation de la prestation indue laisse subsister un enrichissement, l’existence d’un dessaisissement devra également être niée lorsque la prestation reçue à tort a été consacrée à l’entretien courant (logement, nourriture, habillement, frais médicaux, etc…) de l’enrichi, lequel aurait dû en tout état de cause subvenir par d’autres moyens aux dépenses qu’il a effectuées par le biais des fonds reçus à tort. L’enrichissement ne subsiste pas si l’enrichi a fait don de la somme à un tiers ou s’il l’a consacrée à des dépenses non nécessaires (loisirs, dépenses d’agrément, etc…). Peu importe à cet égard la situation économique de l’enrichi. Que ce dernier soit aisé ou qu’il ne le soit pas, le fait est que l’enrichissement dont il a disposé a été utilisé sans laisser de traces dans son patrimoine (Thévenoz/Werro (éditeurs), Commentaire romand, Code des obligations I, Art. 1 – 529 CO, 2ème éd., Bâle 2012, ad art. 64, n. 20, 21, 22, 23, 26 et 27, p. 609 à 611 et les références). 3.2 La demanderesse a invoqué que les indemnités journalières réclamées d’un total de 13 601 fr. 80 n’étaient dues que jusqu’au 11 janvier 2011 et qu’elles avaient donc été payées le 16 mars suivant sans cause valable. En soi, le fait que des prestations d’assurance soient versées postérieurement à la période pour laquelle elles sont dues ne signifie pas encore que ce versement soit intervenu indûment. Il ressort toutefois du décompte du 11 mars 2011 que l’avoir de 13 601 fr. 80 mentionné en faveur de Y__________ correspondait à des indemnités journalières relatives à avril, mai, juillet,</w:t>
      </w:r>
    </w:p>
    <w:p>
      <w:r>
        <w:t>- 9 - août et octobre 2009 (pièce 2) qui, selon le récapitulatif des indemnités journalières versées produit en pièce 11 par la demanderesse, ont déjà été versées en 2009 sur la base de décomptes datant des 23 juin, 28 juillet, 18 août et 13 octobre 2009 et, probablement, d’une police d’assurance ensuite remplacée par celle valable depuis le 1er janvier 2011 (pièce 1). La somme de 13 601 fr. 80 a donc été payée deux fois. Le second versement du 16 mars 2011 a bien été effectué sans cause valable et Y__________ s’en est retrouvé enrichie de façon illégitime. C’est la raison pour laquelle celle-ci, à en croire ses allégations, s’est renseignée oralement auprès de X__________ au sujet du motif de ce versement puis a demandé un arrangement de paiement en huit tranches du montant de 13 601 fr. 80 (pièces 4 et 5). Ce montant constitue donc bien un enrichissement illégitime au sens de l’article 62 CO et, conformément à cette disposition, Y__________ est tenue de le restituer à la demanderesse. Il convient de souligner au passage, à l’instar de la remarque formulée par la défenderesse dans sa réponse du 6 novembre 2012, que les décomptes comportant des indications relatives au montant à restituer sont loin d’être clairs. Le décompte correctif du 8 avril 2011 ne fait état que du remboursement des prestations pour les mois de juillet, août et octobre 2009 à hauteur de 7867 fr. 80 (pièce 3) et le récapitulatif daté du 22 février 2012 mentionne apparemment qu’il aurait été procédé en 2011 à des paiements indus d’un total de 30 102 fr. 55 sur la base des décomptes des</w:t>
      </w:r>
    </w:p>
    <w:p>
      <w:r>
        <w:rPr>
          <w:b/>
        </w:rPr>
        <w:t>E. 6.1</w:t>
      </w:r>
    </w:p>
    <w:p>
      <w:r>
        <w:t>S’agissant des dépens, ils comprennent, selon l’article 95 alinéa 3 CPC : les débours nécessaires (let. a) ; le défraiement d’un représentant professionnel (let. b) ; lorsqu’une partie n’a pas de représentant professionnel, une indemnité équitable pour les démarches effectuées, dans les cas où cela se justifie (let. c).</w:t>
      </w:r>
    </w:p>
    <w:p>
      <w:r>
        <w:rPr>
          <w:b/>
        </w:rPr>
        <w:t>E. 6.2</w:t>
      </w:r>
    </w:p>
    <w:p>
      <w:r>
        <w:t>Pour défendre ses intérêts en la présente procédure, X__________, qui obtient gain de cause, n’a pas fait appel à un représentant professionnel indépendant mais à son service interne « A__________ ». C’est précisément l’une des tâches des personnes employées dans ce service de défendre les intérêts des sociétés du groupe X_________ dans les procédures judiciaires, notamment par la rédaction de mémoires et de courriers. Ces personnes sont rémunérées par leur employeur pour l’accomplissement de ce travail. De plus, aucune audience n’a été tenue en la présente cause, si bien que X___________ n’a pas encouru de débours, hormis des frais de copie et de port qui seront arrêtés au montant forfaitaire de 100 francs.</w:t>
      </w:r>
    </w:p>
    <w:p>
      <w:r>
        <w:t>Prononce</w:t>
      </w:r>
    </w:p>
    <w:p>
      <w:r>
        <w:t>1. La demande est admise. Par conséquent, Y__________ versera à X__________ le montant de 7867 fr. 80 avec intérêt à 5% dès le 17 mai 2011 et les frais administratifs de 200 fr. ainsi que le montant de 5734 fr. avec intérêt à 5% dès le 10 janvier 2012 et les frais administratifs de 200 francs.</w:t>
      </w:r>
    </w:p>
    <w:p>
      <w:r>
        <w:t>- 12 - 2. Les oppositions faites aux commandements de payer établis par l’Office des poursuites et faillites du district de C_________ dans les poursuites nos xxx et xxx sont définitivement levées jusqu’à due concurrence. 3. Il n'est pas percu de frais. 4. Y__________ versera à X__________ le montant de 100 fr. à titre de dépens.</w:t>
      </w:r>
    </w:p>
    <w:p>
      <w:r>
        <w:t>Sion, le 14 mai 2013</w:t>
      </w:r>
    </w:p>
    <w:p>
      <w:r>
        <w:rPr>
          <w:b/>
        </w:rPr>
        <w:t>E. 11</w:t>
      </w:r>
    </w:p>
    <w:p>
      <w:r>
        <w:t>mars et 8 avril 2011 (pièce 11). Quoi qu’il en soit, la défenderesse n’a pas contesté avoir été enrichie et être tenue de restituer le montant de 13 601 fr. 80. Elle a toutefois fait valoir que, en se fondant sur les réponses orales de X__________ selon lesquelles cette somme lui revenait, elle l’avait utilisée de bonne foi non pour des dépenses futiles mais pour le règlement d’une dette. Elle a conclu que n’étant plus en possession dudit montant et compte tenu de sa situation financière précaire, elle n’était pas en mesure d’honorer le plan de remboursement convenu avec la demanderesse. Dans ses observations du 4 décembre 2012, celle-ci a objecté à juste titre qu’au sens de l’article 64 CO, Y__________ n’était plus tenue de restituer la somme réclamée que si la preuve du dessaisissement de ce montant était d’abord rapportée et qu’à ce stade probatoire, la question de la bonne foi de la défenderesse quant à l’utilisation des indemnités litigieuses n’était pas déterminante. Il ressort effectivement de la doctrine citée plus haut que le fait de régler une dette au moyen des fonds encaissés sans cause valable ne constitue pas un dessaisissement aux termes de cette disposition, dans la mesure où la personne qui les a utilisés se trouve toujours enrichie du montant de la dette qu’elle a éteinte par le biais de la prestation dont la restitution lui est demandée. Tel est le cas en l’espèce. La défenderesse a en effet clairement allégué avoir utilisé le montant de 13 601 fr. 80 non pour des dépenses futiles d’agrément mais pour le règlement d’une dette. Y__________ se trouve donc toujours enrichie de ce montant et l’obligation de le restituer à X__________ subsiste. Que cette somme ait été utilisée de bonne foi à la suite de renseignements oraux fournis par cette assurance ne change rien à cette obligation de restitution, si bien que l’apport de la preuve de sa bonne foi</w:t>
      </w:r>
    </w:p>
    <w:p>
      <w:r>
        <w:t>- 10 - par la défenderesse au moyen du témoignage des personnes à l’origine de ces informations n’était pas nécessaire à l’issue du présent litige. En conséquence, en application de l’article 64 CO a contrario, Y__________ demeure dans l’obligation de restituer à X__________ les indemnités journalières de</w:t>
      </w:r>
    </w:p>
    <w:p>
      <w:r>
        <w:rPr>
          <w:b/>
        </w:rPr>
        <w:t>E. 13</w:t>
      </w:r>
    </w:p>
    <w:p>
      <w:r>
        <w:t>601 fr. 80 indûment touchées. 4.1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même si un taux inférieur avait été fixé pour l’intérêt conventionnel (art. 104 al. 1 CO). Sauf disposition légale ou convention contraire, l’intérêt moratoire est dû (dies a quo) pendant la demeure du débiteur. L’intérêt commence donc en principe à courir (dies a quo) le jour suivant (art. 77 CO al. 1 ch. 1 CO par analogie) le terme d’exécution (art. 102 al. 2 CO) ou la réception par le débiteur de l’interpellation (art. 102 al. 1 CO) ou encore la notification au débiteur du commandement de payer (art. 102 al. 1 CO) [Thévenoz/Werro (éditeurs), op. cit., ad art. 104 CO, n. 9, p. 817]. 4.2 Dans les conclusions de sa demande et à l’instar de la teneur des commandements de payer respectifs établis dans les poursuites nos xxx (pièce 7) et xxx (pièce 9), X_________ a réclamé le versement d’un intérêt de 5% dès le 16 mai 2011 sur le montant de 7867 fr. 80 et dès le 30 septembre 2011 sur le solde de 5734 francs. Le paiement de 7867 fr. 80 a été exigé par une facture du 8 avril 2011 fixant la date d’exécution au 16 mai suivant au plus tard (pièce 3), si bien que l’intérêt moratoire de 5% sur cette somme a commencé à courir le 17 mai 2011. Quant au versement du montant de 5734 fr., il n’a jamais été réclamé au moyen d’un décompte comportant un terme d’exécution mais, dans le cadre du plan de paiement du 3 mai 2011 portant sur la créance totale de 13 601 fr. 80, par tranches de 1700 fr., l’échéance de la dernière tranche étant fixée au 31 décembre 2011 (pièce 5). La date du 30 septembre 2011 au titre de dies a quo de l’intérêt moratoire sur le solde de 5734 fr. n’est donc pas correcte. Par la suite, le plan de paiement du 3 mai 2011 n’a pas été honoré par Y__________. Ce solde n’a alors pas fait l’objet d’une interpellation mais directement d’un commandement de payer dans la poursuite no xxx, notifié à la débitrice le 9 janvier 2012 (pièce 9). En conséquence, le point de départ de l’intérêt moratoire de 5% sur le montant de 5734 fr. correspond au 10 janvier 2012. Partant, Y__________ est reconnue devoir à X__________ le montant de 7867 fr. 80 avec intérêt à 5% dès le 17 mai 2011 et les frais administratifs de 200 fr. ainsi que le montant de 5734 fr. avec intérêt à 5% dès le 10 janvier 2012 et les frais administratifs de 200 francs. Sous réserve de la modification du dies a quo de l’intérêt moratoire comptabilisé sur chacune de ces deux créances, l’opposition faite au commandement</w:t>
      </w:r>
    </w:p>
    <w:p>
      <w:r>
        <w:t>- 11 - de payer établi par l’Office des poursuites et faillites du district de C_________ dans la poursuite no xxx est définitivement levée à concurrence de 7867 fr. 80 avec intérêt à 5% dès le 17 mai 2011 ainsi que des frais administratifs de 200 fr. et, de même, l’opposition faite au commandement de payer établi par l’Office des poursuites et faillites du district de C_________ dans la poursuite no xxx est définitivement levée à concurrence de 5734 fr. avec intérêt à 5% dès le 10 janvier 2012 ainsi que des frais administratifs de 200 francs. 5.1 Les frais comprennent les frais judiciaires et les dépens (art. 95 al. 1 CPC). Ils sont mis à la charge de la partie succombante (art. 106 al. 1 i.i. CPC). Il n’est pas perçu de frais judiciaires dans la procédure au fond relative aux litiges portant sur des assurances complémentaires à l’assurance-maladie sociale au sens de la loi fédérale du 18 mars 1994 sur l’assurance-maladie (art. 114 let. e CPC). 5.2 Il a été tranché plus haut concernant l’interprétation de l’article 7 CPC que la présente affaire constituait un litige portant sur une assurance complémentaire à l’assurance-maladie sociale au sens de la LAMal. Il ne sera donc pas perçu de frais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